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2ECE1"/>
  <w:body>
    <w:p>
      <w:pPr>
        <w:spacing w:after="0" w:before="0" w:line="20" w:lineRule="exact"/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" name="capa" descr="Capa da proposta: fundo Capa, assinatura Almeida Nascimento Advocacia e o monograma AN em relevo seco" title="C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4"/>
      </w:tblGrid>
      <w:tr>
        <w:tc>
          <w:tcPr>
            <w:tcW w:type="dxa" w:w="9184"/>
            <w:shd w:fill="172C42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apaRotulo"/>
            </w:pPr>
            <w:r>
              <w:t xml:space="preserve">Proposta de trabalho</w:t>
            </w:r>
          </w:p>
          <w:p>
            <w:pPr>
              <w:pStyle w:val="Title"/>
            </w:pPr>
            <w:r>
              <w:t xml:space="preserve">Planejamento patrimonial,</w:t>
            </w:r>
            <w:r>
              <w:br/>
              <w:t xml:space="preserve">sucessório, societário</w:t>
            </w:r>
            <w:r>
              <w:br/>
              <w:t xml:space="preserve">e tributário</w:t>
            </w:r>
          </w:p>
          <w:p>
            <w:pPr>
              <w:pStyle w:val="CapaSubtitulo"/>
            </w:pPr>
            <w:r>
              <w:t xml:space="preserve">Tudo o que você construiu, pensado junto.</w:t>
            </w:r>
          </w:p>
          <w:p>
            <w:pPr>
              <w:pStyle w:val="CapaLinha"/>
              <w:tabs>
                <w:tab w:val="left" w:pos="1928"/>
              </w:tabs>
              <w:spacing w:before="567"/>
            </w:pPr>
            <w:r>
              <w:rPr>
                <w:i/>
                <w:iCs/>
                <w:color w:val="DAD2C4"/>
                <w:sz w:val="20"/>
                <w:szCs w:val="20"/>
              </w:rPr>
              <w:t xml:space="preserve">preparada para</w:t>
            </w:r>
            <w:r>
              <w:t xml:space="preserve">	</w:t>
            </w:r>
            <w:r>
              <w:rPr>
                <w:rStyle w:val="Campo"/>
              </w:rPr>
              <w:t xml:space="preserve">[nome da família ou do cliente]</w:t>
            </w:r>
          </w:p>
          <w:p>
            <w:pPr>
              <w:pStyle w:val="CapaLinha"/>
              <w:tabs>
                <w:tab w:val="left" w:pos="1928"/>
              </w:tabs>
              <w:spacing w:before="60"/>
            </w:pPr>
            <w:r>
              <w:rPr>
                <w:i/>
                <w:iCs/>
                <w:color w:val="DAD2C4"/>
                <w:sz w:val="20"/>
                <w:szCs w:val="20"/>
              </w:rPr>
              <w:t xml:space="preserve">data</w:t>
            </w:r>
            <w:r>
              <w:t xml:space="preserve">	</w:t>
            </w:r>
            <w:r>
              <w:rPr>
                <w:rStyle w:val="Campo"/>
              </w:rPr>
              <w:t xml:space="preserve">[dia de mês de ano]</w:t>
            </w:r>
          </w:p>
        </w:tc>
      </w:tr>
    </w:tbl>
    <w:p>
      <w:pPr>
        <w:sectPr>
          <w:headerReference w:type="default" r:id="rId6"/>
          <w:footerReference w:type="default" r:id="rId7"/>
          <w:pgSz w:w="11906" w:h="16838" w:orient="portrait"/>
          <w:pgMar w:top="10772" w:right="1361" w:bottom="1020" w:left="1361" w:header="0" w:footer="0" w:gutter="0"/>
          <w:pgNumType/>
          <w:docGrid w:linePitch="360"/>
        </w:sectPr>
      </w:pPr>
    </w:p>
    <w:p>
      <w:pPr>
        <w:pStyle w:val="Heading1"/>
        <w:pageBreakBefore/>
        <w:spacing w:before="0"/>
      </w:pPr>
      <w:r>
        <w:t xml:space="preserve">O ponto de partida</w:t>
      </w:r>
    </w:p>
    <w:p>
      <w:pPr>
        <w:pStyle w:val="Abertura"/>
      </w:pPr>
      <w:r>
        <w:rPr>
          <w:rStyle w:val="Campo"/>
        </w:rPr>
        <w:t xml:space="preserve">[Nome]</w:t>
      </w:r>
      <w:r>
        <w:t xml:space="preserve"> é </w:t>
      </w:r>
      <w:r>
        <w:rPr>
          <w:rStyle w:val="Campo"/>
        </w:rPr>
        <w:t xml:space="preserve">[estado civil e regime de bens]</w:t>
      </w:r>
      <w:r>
        <w:t xml:space="preserve">, com </w:t>
      </w:r>
      <w:r>
        <w:rPr>
          <w:rStyle w:val="Campo"/>
        </w:rPr>
        <w:t xml:space="preserve">[número]</w:t>
      </w:r>
      <w:r>
        <w:t xml:space="preserve"> filhos, de </w:t>
      </w:r>
      <w:r>
        <w:rPr>
          <w:rStyle w:val="Campo"/>
        </w:rPr>
        <w:t xml:space="preserve">[idades]</w:t>
      </w:r>
      <w:r>
        <w:t xml:space="preserve">. O patrimônio reúne </w:t>
      </w:r>
      <w:r>
        <w:rPr>
          <w:rStyle w:val="Campo"/>
        </w:rPr>
        <w:t xml:space="preserve">[imóveis, empresas e aplicações]</w:t>
      </w:r>
      <w:r>
        <w:t xml:space="preserve">, hoje </w:t>
      </w:r>
      <w:r>
        <w:rPr>
          <w:rStyle w:val="Campo"/>
        </w:rPr>
        <w:t xml:space="preserve">[em nome das pessoas físicas]</w:t>
      </w:r>
      <w:r>
        <w:t xml:space="preserve">. A família recebe cerca de R$ </w:t>
      </w:r>
      <w:r>
        <w:rPr>
          <w:rStyle w:val="Campo"/>
        </w:rPr>
        <w:t xml:space="preserve">[valor]</w:t>
      </w:r>
      <w:r>
        <w:t xml:space="preserve"> por mês em aluguéis e a empresa está no </w:t>
      </w:r>
      <w:r>
        <w:rPr>
          <w:rStyle w:val="Campo"/>
        </w:rPr>
        <w:t xml:space="preserve">[regime tributário]</w:t>
      </w:r>
      <w:r>
        <w:t xml:space="preserve">.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a maior preocupação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[nas palavras de quem contou]</w:t>
            </w:r>
          </w:p>
        </w:tc>
      </w:tr>
    </w:tbl>
    <w:p>
      <w:pPr>
        <w:pStyle w:val="Corpo"/>
        <w:spacing w:after="0" w:before="0"/>
      </w:pPr>
    </w:p>
    <w:p>
      <w:pPr>
        <w:pStyle w:val="Heading1"/>
      </w:pPr>
      <w:r>
        <w:t xml:space="preserve">O que propomos</w:t>
      </w:r>
    </w:p>
    <w:p>
      <w:pPr>
        <w:pStyle w:val="Abertura"/>
      </w:pPr>
      <w:r>
        <w:t xml:space="preserve">Decidir as quatro frentes juntas, numa estrutura só. Decidir uma frente sem olhar as outras é onde o dinheiro se perde.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patrimônio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Proteger o patrimônio pessoal, para que penhoras e dívidas, do negócio ou pessoais, não alcancem os seus bens. Antes, medimos os riscos e as obrigações que já existem.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família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Planejar a sucessão em vida, para que a herança não trave e não vire conflito entre herdeiros, em divórcios ou entre sócios.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empresa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Separar o CPF do risco do negócio e definir regras para que cônjuges e filhos dos sócios não entrem em conflito dentro da empresa.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impostos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Estudar a tributação dos aluguéis e arrendamentos recebidos e a distribuição de lucros para quem retira mais de R$ 50 mil por mês.</w:t>
            </w:r>
          </w:p>
        </w:tc>
      </w:tr>
    </w:tbl>
    <w:p>
      <w:pPr>
        <w:pStyle w:val="Heading1"/>
        <w:pageBreakBefore/>
        <w:spacing w:before="0"/>
      </w:pPr>
      <w:r>
        <w:t xml:space="preserve">Como funciona</w:t>
      </w:r>
    </w:p>
    <w:p>
      <w:pPr>
        <w:pStyle w:val="Abertura"/>
      </w:pPr>
      <w:r>
        <w:t xml:space="preserve">Quatro etapas até a estrutura pronta, em até 120 dias da assinatura, e mais um ano de acompanhamento.</w:t>
      </w:r>
    </w:p>
    <w:tbl>
      <w:tblPr>
        <w:tblW w:type="dxa" w:w="9184"/>
        <w:tblBorders>
          <w:top w:val="none" w:color="auto" w:sz="0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567"/>
        <w:gridCol w:w="6349"/>
        <w:gridCol w:w="2268"/>
      </w:tblGrid>
      <w:tr>
        <w:trPr>
          <w:tblHeader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r>
              <w:t xml:space="preserve"/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r>
              <w:t xml:space="preserve"/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prazo-alvo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1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Início</w:t>
            </w:r>
          </w:p>
          <w:p>
            <w:pPr>
              <w:pStyle w:val="Corpo"/>
            </w:pPr>
            <w:r>
              <w:t xml:space="preserve">Na assinatura, abrimos um grupo de acompanhamento com o advogado responsável e reunimos os documentos.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19"/>
                <w:szCs w:val="19"/>
              </w:rPr>
              <w:t xml:space="preserve">na assinatura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2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Estruturação</w:t>
            </w:r>
          </w:p>
          <w:p>
            <w:pPr>
              <w:pStyle w:val="Corpo"/>
            </w:pPr>
            <w:r>
              <w:t xml:space="preserve">Diagnóstico completo, desenho da estrutura e cronograma. Simulamos os impostos no cenário de hoje e no proposto.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  <w:sz w:val="19"/>
                <w:szCs w:val="19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3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Validação</w:t>
            </w:r>
          </w:p>
          <w:p>
            <w:pPr>
              <w:pStyle w:val="Corpo"/>
            </w:pPr>
            <w:r>
              <w:t xml:space="preserve">Reunião com a família para aprovar a estrutura, registrada em ata assinada.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  <w:sz w:val="19"/>
                <w:szCs w:val="19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4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Implementação</w:t>
            </w:r>
          </w:p>
          <w:p>
            <w:pPr>
              <w:pStyle w:val="Corpo"/>
            </w:pPr>
            <w:r>
              <w:t xml:space="preserve">Registro na Junta Comercial, transferência dos bens para a estrutura, registros em cartório e livro de ações.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19"/>
                <w:szCs w:val="19"/>
              </w:rPr>
              <w:t xml:space="preserve">até 120 dias da assinatura; 60 dias quando não há imóvel a transferir</w:t>
            </w:r>
          </w:p>
        </w:tc>
      </w:tr>
    </w:tbl>
    <w:p>
      <w:pPr>
        <w:pStyle w:val="Corpo"/>
        <w:spacing w:after="0" w:before="0"/>
      </w:pP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depois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Doze meses de acompanhamento: reuniões, atendimento pelo WhatsApp em dias úteis, alertas fiscais e orientação ao seu contador.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fazemos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 parte jurídica, societária e tributária de cada etapa, com o cronograma à vista.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você faz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Reúne os documentos, participa da reunião de validação com a família e assina os atos.</w:t>
            </w:r>
          </w:p>
        </w:tc>
      </w:tr>
    </w:tbl>
    <w:p>
      <w:pPr>
        <w:pStyle w:val="Heading1"/>
        <w:pageBreakBefore/>
        <w:spacing w:before="0"/>
      </w:pPr>
      <w:r>
        <w:t xml:space="preserve">O que precisamos de você</w:t>
      </w:r>
    </w:p>
    <w:p>
      <w:pPr>
        <w:pStyle w:val="Abertura"/>
      </w:pPr>
      <w:r>
        <w:t xml:space="preserve">Para o diagnóstico completo. Onde não houver avaliação, uma estimativa de valor basta.</w:t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5"/>
        <w:gridCol w:w="454"/>
        <w:gridCol w:w="4365"/>
      </w:tblGrid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Declarações de imposto de renda dos titulares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Lista dos bens com valor de compra, valor declarado e uma estimativa de mercado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Certidão de casamento ou escritura de união estável, com o regime de bens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Contratos de locação e o valor bruto recebido por mês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Nome e idade dos filhos e de outros herdeiros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Financiamentos, avais, execuções ou notificações em andamento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Contrato social das empresas e o regime tributário de cada uma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Nome e contato do contador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Matrículas dos imóveis, ou o contrato de compra quando não houver escritura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pStyle w:val="Corpo"/>
        <w:spacing w:after="0" w:before="0"/>
      </w:pPr>
    </w:p>
    <w:p>
      <w:pPr>
        <w:pStyle w:val="Heading1"/>
      </w:pPr>
      <w:r>
        <w:t xml:space="preserve">O custo de deixar para depois</w:t>
      </w:r>
    </w:p>
    <w:p>
      <w:pPr>
        <w:pStyle w:val="Abertura"/>
      </w:pPr>
      <w:r>
        <w:t xml:space="preserve">O fácil é conseguir pagar o imposto. O problema é liquidez. Sem planejamento, a sucessão passa pelo inventário, e os bens ficam bloqueados até o fim.</w:t>
      </w:r>
    </w:p>
    <w:tbl>
      <w:tblPr>
        <w:tblW w:type="dxa" w:w="9184"/>
        <w:tblBorders>
          <w:top w:val="none" w:color="auto" w:sz="0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608"/>
        <w:gridCol w:w="4195"/>
        <w:gridCol w:w="2381"/>
      </w:tblGrid>
      <w:tr>
        <w:trPr>
          <w:tblHeader/>
        </w:trPr>
        <w:tc>
          <w:tcPr>
            <w:tcW w:type="dxa" w:w="260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</w:p>
        </w:tc>
        <w:tc>
          <w:tcPr>
            <w:tcW w:type="dxa" w:w="419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referência</w:t>
            </w:r>
          </w:p>
        </w:tc>
        <w:tc>
          <w:tcPr>
            <w:tcW w:type="dxa" w:w="238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no seu caso</w:t>
            </w:r>
          </w:p>
        </w:tc>
      </w:tr>
      <w:tr>
        <w:trPr>
          <w:cantSplit/>
        </w:trPr>
        <w:tc>
          <w:tcPr>
            <w:tcW w:type="dxa" w:w="260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honorários do inventário</w:t>
            </w:r>
          </w:p>
        </w:tc>
        <w:tc>
          <w:tcPr>
            <w:tcW w:type="dxa" w:w="419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 partir de 5% do patrimônio, pela tabela da OAB</w:t>
            </w:r>
          </w:p>
        </w:tc>
        <w:tc>
          <w:tcPr>
            <w:tcW w:type="dxa" w:w="238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  <w:tr>
        <w:trPr>
          <w:cantSplit/>
        </w:trPr>
        <w:tc>
          <w:tcPr>
            <w:tcW w:type="dxa" w:w="260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ITCMD</w:t>
            </w:r>
          </w:p>
        </w:tc>
        <w:tc>
          <w:tcPr>
            <w:tcW w:type="dxa" w:w="419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de 4% a 8% sobre o valor de mercado, conforme o estado</w:t>
            </w:r>
          </w:p>
        </w:tc>
        <w:tc>
          <w:tcPr>
            <w:tcW w:type="dxa" w:w="238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  <w:tr>
        <w:trPr>
          <w:cantSplit/>
        </w:trPr>
        <w:tc>
          <w:tcPr>
            <w:tcW w:type="dxa" w:w="260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prazo</w:t>
            </w:r>
          </w:p>
        </w:tc>
        <w:tc>
          <w:tcPr>
            <w:tcW w:type="dxa" w:w="419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60 dias para pagar o imposto, com os bens bloqueados</w:t>
            </w:r>
          </w:p>
        </w:tc>
        <w:tc>
          <w:tcPr>
            <w:tcW w:type="dxa" w:w="238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sai do patrimônio</w:t>
            </w:r>
          </w:p>
        </w:tc>
        <w:tc>
          <w:tcPr>
            <w:tcW w:type="dxa" w:w="4195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</w:p>
        </w:tc>
        <w:tc>
          <w:tcPr>
            <w:tcW w:type="dxa" w:w="2381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</w:tbl>
    <w:p>
      <w:pPr>
        <w:pStyle w:val="Corpo"/>
        <w:spacing w:after="0" w:before="0"/>
      </w:pPr>
    </w:p>
    <w:p>
      <w:pPr>
        <w:pStyle w:val="Corpo"/>
        <w:spacing w:before="160"/>
      </w:pPr>
      <w:r>
        <w:t xml:space="preserve">Ou se gasta agora o que é preciso, ou se gasta muito depois, para ter que vender.</w:t>
      </w:r>
    </w:p>
    <w:p>
      <w:pPr>
        <w:pStyle w:val="Ressalva"/>
        <w:spacing w:after="0" w:before="100"/>
      </w:pPr>
      <w:r>
        <w:t xml:space="preserve">Referências usadas nas conversas do escritório; variam por estado e por caso. Não são parecer.</w:t>
      </w:r>
    </w:p>
    <w:p>
      <w:pPr>
        <w:pStyle w:val="Heading1"/>
        <w:pageBreakBefore/>
        <w:spacing w:before="0"/>
      </w:pPr>
      <w:r>
        <w:t xml:space="preserve">Investimento e condições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honorários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forma de pagamento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o que está incluído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As quatro etapas e os doze meses de acompanhamento, com a orientação ao seu contador.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custos de terceiros, à parte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Junta Comercial, cartório, ITBI quando houver e a contabilidade da nova estrutura: </w:t>
            </w:r>
            <w:r>
              <w:rPr>
                <w:rStyle w:val="Campo"/>
              </w:rPr>
              <w:t xml:space="preserve">[estimativa]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validade desta proposta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</w:tbl>
    <w:p>
      <w:pPr>
        <w:pStyle w:val="Corpo"/>
        <w:spacing w:after="0" w:before="0"/>
      </w:pPr>
    </w:p>
    <w:p>
      <w:pPr>
        <w:pStyle w:val="Ressalva"/>
        <w:spacing w:after="0" w:before="100"/>
      </w:pPr>
      <w:r>
        <w:t xml:space="preserve">Honorários e condições conforme o contrato de prestação de serviços.</w:t>
      </w:r>
    </w:p>
    <w:p>
      <w:pPr>
        <w:pStyle w:val="Heading1"/>
      </w:pPr>
      <w:r>
        <w:t xml:space="preserve">Próximos passos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Você lê a proposta com quem decide junto com você.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Conversamos em </w:t>
      </w:r>
      <w:r>
        <w:rPr>
          <w:rStyle w:val="Campo"/>
        </w:rPr>
        <w:t xml:space="preserve">[data combinada]</w:t>
      </w:r>
      <w:r>
        <w:t xml:space="preserve"> sobre a sua decisão.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Com o seu de acordo, assinamos o contrato e começamos pela etapa 1.</w:t>
      </w:r>
    </w:p>
    <w:p>
      <w:pPr>
        <w:pStyle w:val="Corpo"/>
        <w:spacing w:before="200"/>
      </w:pPr>
      <w:r>
        <w:rPr>
          <w:rStyle w:val="Campo"/>
        </w:rPr>
        <w:t xml:space="preserve">[cidade]</w:t>
      </w:r>
      <w:r>
        <w:t xml:space="preserve">, </w:t>
      </w:r>
      <w:r>
        <w:rPr>
          <w:rStyle w:val="Campo"/>
        </w:rPr>
        <w:t xml:space="preserve">[dia de mês de ano]</w:t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2"/>
        <w:gridCol w:w="680"/>
        <w:gridCol w:w="4252"/>
      </w:tblGrid>
      <w:tr>
        <w:trPr>
          <w:cantSplit/>
        </w:trPr>
        <w:tc>
          <w:tcPr>
            <w:tcW w:type="dxa" w:w="4252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pBdr>
                <w:top w:val="single" w:color="172C42" w:sz="5" w:space="4"/>
              </w:pBdr>
              <w:spacing w:after="60" w:before="567"/>
            </w:pPr>
            <w:r>
              <w:t xml:space="preserve">Caio Ferreira do Nascimento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Advogado tributarista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OAB nº </w:t>
            </w:r>
            <w:r>
              <w:rPr>
                <w:rStyle w:val="Campo"/>
                <w:sz w:val="19"/>
                <w:szCs w:val="19"/>
              </w:rPr>
              <w:t xml:space="preserve">[a confirmar]</w:t>
            </w:r>
          </w:p>
        </w:tc>
        <w:tc>
          <w:tcPr>
            <w:tcW w:type="dxa" w:w="6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252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pBdr>
                <w:top w:val="single" w:color="172C42" w:sz="5" w:space="4"/>
              </w:pBdr>
              <w:spacing w:after="60" w:before="567"/>
            </w:pPr>
            <w:r>
              <w:t xml:space="preserve">Esthevan Lima Almeida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Advogado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OAB nº </w:t>
            </w:r>
            <w:r>
              <w:rPr>
                <w:rStyle w:val="Campo"/>
                <w:sz w:val="19"/>
                <w:szCs w:val="19"/>
              </w:rPr>
              <w:t xml:space="preserve">[a confirmar]</w:t>
            </w:r>
          </w:p>
        </w:tc>
      </w:tr>
    </w:tbl>
    <w:p>
      <w:pPr>
        <w:pStyle w:val="Heading1"/>
        <w:pageBreakBefore/>
        <w:spacing w:before="0"/>
      </w:pPr>
      <w:r>
        <w:t xml:space="preserve">Ressalvas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caráter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Esta proposta é informativa (Provimento 205/2021 da OAB): descreve o trabalho e as condições, sem promessa de resultado.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proteção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Nenhuma estrutura torna o patrimônio imune a toda cobrança. Com execução, cobrança ou notificação em curso, transferir bens pode ser fraude à execução; por isso essa conferência vem antes de tudo.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impostos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 imunidade de ITBI na transferência dos imóveis depende do município e do caso. As simulações de imposto são estimativas e não são parecer.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leis em mudança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ITCMD, tributação de aluguéis e de dividendos estão em mudança. Cada ato segue a lei vigente na data em que é feito.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honorários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Valem os honorários e as condições do contrato de prestação de serviços, que prevalece sobre esta proposta.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sigilo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Os documentos enviados são usados só neste trabalho, sob sigilo profissional e conforme a LGPD.</w:t>
            </w:r>
          </w:p>
        </w:tc>
      </w:tr>
    </w:tbl>
    <w:p>
      <w:pPr>
        <w:pStyle w:val="Corpo"/>
        <w:spacing w:after="0" w:before="0"/>
      </w:pPr>
    </w:p>
    <w:p>
      <w:pPr>
        <w:pStyle w:val="Rotulo"/>
        <w:spacing w:after="60" w:before="240"/>
      </w:pPr>
      <w:r>
        <w:t xml:space="preserve">dados do escritório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1361"/>
        <w:gridCol w:w="3118"/>
        <w:gridCol w:w="1134"/>
        <w:gridCol w:w="3571"/>
      </w:tblGrid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escritório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Almeida Nascimento Advocacia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CNPJ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endereço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whatsapp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e-mail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site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almeidanascimentoadv.com.br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responsáveis</w:t>
            </w:r>
          </w:p>
        </w:tc>
        <w:tc>
          <w:tcPr>
            <w:tcW w:type="dxa" w:w="7823"/>
            <w:gridSpan w:val="3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Caio Ferreira do Nascimento, OAB nº </w:t>
            </w:r>
            <w:r>
              <w:rPr>
                <w:rStyle w:val="Campo"/>
                <w:sz w:val="18"/>
                <w:szCs w:val="18"/>
              </w:rPr>
              <w:t xml:space="preserve">[a confirmar]</w:t>
            </w:r>
            <w:r>
              <w:rPr>
                <w:color w:val="172C42"/>
                <w:sz w:val="18"/>
                <w:szCs w:val="18"/>
              </w:rPr>
              <w:t xml:space="preserve">; Esthevan Lima Almeida, OAB nº </w:t>
            </w:r>
            <w:r>
              <w:rPr>
                <w:rStyle w:val="Campo"/>
                <w:sz w:val="18"/>
                <w:szCs w:val="18"/>
              </w:rPr>
              <w:t xml:space="preserve">[a confirmar]</w:t>
            </w:r>
          </w:p>
        </w:tc>
      </w:tr>
    </w:tbl>
    <w:sectPr>
      <w:headerReference w:type="default" r:id="rId8"/>
      <w:footerReference w:type="default" r:id="rId9"/>
      <w:pgSz w:w="11906" w:h="16838" w:orient="portrait"/>
      <w:pgMar w:top="2041" w:right="1361" w:bottom="1587" w:left="1361" w:header="85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terata">
    <w:altName w:val="Georgia"/>
    <w:charset w:val="00"/>
    <w:family w:val="roman"/>
    <w:pitch w:val="variable"/>
  </w:font>
  <w:font w:name="Literata Display">
    <w:altName w:val="Georgia"/>
    <w:charset w:val="00"/>
    <w:family w:val="roman"/>
    <w:pitch w:val="variable"/>
  </w:font>
  <w:font w:name="Literata Titulo">
    <w:altName w:val="Georg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tabs>
        <w:tab w:val="right" w:pos="9184"/>
      </w:tabs>
      <w:spacing w:after="0"/>
    </w:pPr>
    <w:r>
      <w:rPr>
        <w:color w:val="5A544D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t xml:space="preserve">	</w:t>
    </w:r>
    <w:r>
      <w:drawing>
        <wp:inline distT="0" distB="0" distL="0" distR="0">
          <wp:extent cx="466725" cy="466725"/>
          <wp:effectExtent t="0" r="0" b="0" l="0"/>
          <wp:docPr id="6" name="selo" descr="Monograma AN em relevo seco" title="Selo se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Corpo"/>
      <w:pBdr>
        <w:bottom w:val="single" w:color="DAD2C4" w:sz="4" w:space="8"/>
      </w:pBdr>
      <w:tabs>
        <w:tab w:val="right" w:pos="9184"/>
      </w:tabs>
      <w:spacing w:after="0"/>
    </w:pPr>
    <w:r>
      <w:drawing>
        <wp:inline distT="0" distB="0" distL="0" distR="0">
          <wp:extent cx="1581150" cy="228600"/>
          <wp:effectExtent t="0" r="0" b="0" l="0"/>
          <wp:docPr id="5" name="assinatura" descr="Assinatura horizontal" title="Almeida Nascimento Advoca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i/>
        <w:iCs/>
        <w:color w:val="5A544D"/>
        <w:sz w:val="18"/>
        <w:szCs w:val="18"/>
      </w:rPr>
      <w:t xml:space="preserve">Proposta de trabalho · </w:t>
    </w:r>
    <w:r>
      <w:rPr>
        <w:rStyle w:val="Campo"/>
        <w:sz w:val="17"/>
        <w:szCs w:val="17"/>
      </w:rPr>
      <w:t xml:space="preserve">[mês de ano]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510" w:hanging="510"/>
      </w:pPr>
      <w:rPr>
        <w:rFonts w:ascii="Literata" w:cs="Literata" w:eastAsia="Literata" w:hAnsi="Literata"/>
        <w:color w:val="172C42"/>
        <w:sz w:val="26"/>
        <w:szCs w:val="26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510" w:hanging="510"/>
      </w:pPr>
      <w:rPr>
        <w:rFonts w:ascii="Literata" w:cs="Literata" w:eastAsia="Literata" w:hAnsi="Literata"/>
        <w:color w:val="172C42"/>
        <w:sz w:val="26"/>
        <w:szCs w:val="2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terata" w:cs="Literata" w:eastAsia="Literata" w:hAnsi="Literata"/>
        <w:color w:val="172C42"/>
        <w:sz w:val="21"/>
        <w:szCs w:val="21"/>
      </w:rPr>
    </w:rPrDefault>
    <w:pPrDefault>
      <w:pPr>
        <w:spacing w:line="242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120" w:line="172" w:lineRule="auto"/>
    </w:pPr>
    <w:rPr>
      <w:rFonts w:ascii="Literata Display" w:cs="Literata Display" w:eastAsia="Literata Display" w:hAnsi="Literata Display"/>
      <w:b w:val="false"/>
      <w:bCs w:val="false"/>
      <w:color w:val="F2ECE1"/>
      <w:sz w:val="68"/>
      <w:szCs w:val="68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480" w:line="186" w:lineRule="auto"/>
    </w:pPr>
    <w:rPr>
      <w:rFonts w:ascii="Literata Titulo" w:cs="Literata Titulo" w:eastAsia="Literata Titulo" w:hAnsi="Literata Titulo"/>
      <w:b w:val="false"/>
      <w:bCs w:val="false"/>
      <w:color w:val="172C42"/>
      <w:sz w:val="38"/>
      <w:szCs w:val="3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rpo">
    <w:name w:val="Corpo"/>
    <w:basedOn w:val="Normal"/>
    <w:qFormat/>
    <w:pPr>
      <w:spacing w:after="0" w:line="242" w:lineRule="auto"/>
    </w:pPr>
    <w:rPr>
      <w:rFonts w:ascii="Literata" w:cs="Literata" w:eastAsia="Literata" w:hAnsi="Literata"/>
      <w:color w:val="172C42"/>
      <w:sz w:val="21"/>
      <w:szCs w:val="21"/>
    </w:rPr>
  </w:style>
  <w:style w:type="paragraph" w:styleId="Abertura">
    <w:name w:val="Abertura"/>
    <w:basedOn w:val="Corpo"/>
    <w:next w:val="Corpo"/>
    <w:qFormat/>
    <w:pPr>
      <w:spacing w:after="180"/>
    </w:pPr>
    <w:rPr>
      <w:sz w:val="23"/>
      <w:szCs w:val="23"/>
    </w:rPr>
  </w:style>
  <w:style w:type="paragraph" w:styleId="Rotulo">
    <w:name w:val="Rótulo itálico"/>
    <w:basedOn w:val="Corpo"/>
    <w:qFormat/>
    <w:pPr>
      <w:spacing w:after="0"/>
    </w:pPr>
    <w:rPr>
      <w:i/>
      <w:iCs/>
      <w:color w:val="5A544D"/>
      <w:sz w:val="20"/>
      <w:szCs w:val="20"/>
    </w:rPr>
  </w:style>
  <w:style w:type="paragraph" w:styleId="Nota">
    <w:name w:val="Nota"/>
    <w:basedOn w:val="Corpo"/>
    <w:qFormat/>
    <w:pPr>
      <w:spacing w:after="0"/>
    </w:pPr>
    <w:rPr>
      <w:color w:val="5A544D"/>
      <w:sz w:val="16"/>
      <w:szCs w:val="16"/>
    </w:rPr>
  </w:style>
  <w:style w:type="paragraph" w:styleId="Ressalva">
    <w:name w:val="Ressalva"/>
    <w:basedOn w:val="Corpo"/>
    <w:qFormat/>
    <w:pPr>
      <w:spacing w:after="0"/>
    </w:pPr>
    <w:rPr>
      <w:color w:val="5A544D"/>
      <w:sz w:val="19"/>
      <w:szCs w:val="19"/>
    </w:rPr>
  </w:style>
  <w:style w:type="paragraph" w:styleId="CapaRotulo">
    <w:name w:val="Capa, rótulo"/>
    <w:basedOn w:val="Corpo"/>
    <w:next w:val="Title"/>
    <w:pPr>
      <w:spacing w:after="60"/>
    </w:pPr>
    <w:rPr>
      <w:i/>
      <w:iCs/>
      <w:color w:val="DAD2C4"/>
      <w:sz w:val="26"/>
      <w:szCs w:val="26"/>
    </w:rPr>
  </w:style>
  <w:style w:type="paragraph" w:styleId="CapaSubtitulo">
    <w:name w:val="Capa, subtítulo"/>
    <w:basedOn w:val="Corpo"/>
    <w:pPr>
      <w:spacing w:after="0" w:before="200"/>
    </w:pPr>
    <w:rPr>
      <w:color w:val="DAD2C4"/>
      <w:sz w:val="26"/>
      <w:szCs w:val="26"/>
    </w:rPr>
  </w:style>
  <w:style w:type="paragraph" w:styleId="CapaLinha">
    <w:name w:val="Capa, linha"/>
    <w:basedOn w:val="Corpo"/>
    <w:pPr>
      <w:spacing w:after="0"/>
    </w:pPr>
    <w:rPr>
      <w:color w:val="F2ECE1"/>
      <w:sz w:val="21"/>
      <w:szCs w:val="21"/>
    </w:rPr>
  </w:style>
  <w:style w:type="character" w:styleId="Campo">
    <w:name w:val="Campo a preencher"/>
    <w:basedOn w:val="DefaultParagraphFont"/>
    <w:uiPriority w:val="99"/>
    <w:unhideWhenUsed/>
    <w:qFormat/>
    <w:rPr>
      <w:i w:val="false"/>
      <w:iCs w:val="false"/>
      <w:color w:val="172C42"/>
      <w:shd w:fill="DAD2C4" w:color="auto" w:val="clea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08c906662888e782a42b1a4069da3caa7805abd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7049a57f2d9470b0a15a5e29b91a40cd08153c3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cd20a68ca2912af5b65a67647072f5fef7f5c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trabalho: planejamento patrimonial, sucessório, societário e tributário</dc:title>
  <dc:creator>Almeida Nascimento Advocacia</dc:creator>
  <dc:description>Modelo de proposta de trabalho. Campos entre colchetes, com fundo Pedra, são para preencher.</dc:description>
  <cp:lastModifiedBy>Un-named</cp:lastModifiedBy>
  <cp:revision>1</cp:revision>
  <dcterms:created xsi:type="dcterms:W3CDTF">2026-10-07T11:46:35.703Z</dcterms:created>
  <dcterms:modified xsi:type="dcterms:W3CDTF">2026-10-07T11:46:35.703Z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